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Style w:val="Strong"/>
          <w:rFonts w:ascii="Titillium Web" w:hAnsi="Titillium Web"/>
          <w:color w:val="1A1A1A"/>
          <w:sz w:val="27"/>
          <w:szCs w:val="27"/>
        </w:rPr>
        <w:t>Allegato A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Style w:val="Strong"/>
          <w:rFonts w:ascii="Titillium Web" w:hAnsi="Titillium Web"/>
          <w:color w:val="1A1A1A"/>
          <w:sz w:val="27"/>
          <w:szCs w:val="27"/>
        </w:rPr>
        <w:t>PROGETTO DI SPONSORIZZAZIONE RELATIVO ALL’ORGANIZZAZIONE DELLA FESTA DELLA REPUBBLICA ITALIANA 2026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L’Ambasciata d’Italia in Messico intende procedere alla ricerca di sponsorizzazioni per l’organizzazione della Festa della Repubblica Italiana 2026</w:t>
      </w:r>
      <w:r w:rsidRPr="00CB348C">
        <w:rPr>
          <w:rFonts w:ascii="Titillium Web" w:hAnsi="Titillium Web"/>
          <w:color w:val="1A1A1A"/>
          <w:sz w:val="27"/>
          <w:szCs w:val="27"/>
        </w:rPr>
        <w:t>,</w:t>
      </w:r>
      <w:r>
        <w:rPr>
          <w:rFonts w:ascii="Titillium Web" w:hAnsi="Titillium Web"/>
          <w:color w:val="1A1A1A"/>
          <w:sz w:val="27"/>
          <w:szCs w:val="27"/>
        </w:rPr>
        <w:t xml:space="preserve"> che avrà luogo presso l’</w:t>
      </w:r>
      <w:r>
        <w:rPr>
          <w:rStyle w:val="Strong"/>
          <w:rFonts w:ascii="Titillium Web" w:hAnsi="Titillium Web"/>
          <w:color w:val="1A1A1A"/>
          <w:sz w:val="27"/>
          <w:szCs w:val="27"/>
        </w:rPr>
        <w:t>Istituto Italiano di Cultura</w:t>
      </w:r>
      <w:r>
        <w:rPr>
          <w:rFonts w:ascii="Titillium Web" w:hAnsi="Titillium Web"/>
          <w:color w:val="1A1A1A"/>
          <w:sz w:val="27"/>
          <w:szCs w:val="27"/>
        </w:rPr>
        <w:t>.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Elementi dell’accordo di sponsorizzazione: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La sponsorizzazione è finalizzata a rendere disponibili le risorse per il finanziamento della Festa della Repubblica. I rapporti tra l’Ambasciata d’Italia in Messico e gli sponsor saranno disciplinati da contratti separati, stipulati in base alla normativa italiana vigente. Rimangono a carico dello sponsor le eventuali spese relative al pagamento di imposte, tasse o corrispettivi comunque denominati, previsti da leggi o regolamenti di diritto nazionale o locale, derivanti dall’esecuzione del contratto.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  <w:u w:val="single"/>
        </w:rPr>
        <w:t>IMPEGNI GENERALI DELL’AMBASCIATA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Ai soggetti individuati come sponsor, l’Ambasciata garantirà ampia visibilità su tutto il materiale informativo prodotto e, in particolare: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• il logo dello sponsor verrà evidenziato sugli inviti;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• il logo dello sponsor verrà esposto negli spazi dell’Istituto Italiano di Cultura dove avrà luogo la celebrazione della Festa della Repubblica Italiana;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• gli sponsor potranno disporre di </w:t>
      </w:r>
      <w:r>
        <w:rPr>
          <w:rFonts w:ascii="Titillium Web" w:hAnsi="Titillium Web"/>
          <w:color w:val="1A1A1A"/>
          <w:sz w:val="27"/>
          <w:szCs w:val="27"/>
          <w:u w:val="single"/>
        </w:rPr>
        <w:t>dieci inviti</w:t>
      </w:r>
      <w:r>
        <w:rPr>
          <w:rFonts w:ascii="Titillium Web" w:hAnsi="Titillium Web"/>
          <w:color w:val="1A1A1A"/>
          <w:sz w:val="27"/>
          <w:szCs w:val="27"/>
        </w:rPr>
        <w:t> da offrire a propri contatti, previa comunicazione dei nominativi a questa Ambasciata ai fini delle procedure di sicurezza e accesso;</w:t>
      </w:r>
      <w:r>
        <w:rPr>
          <w:rFonts w:ascii="Titillium Web" w:hAnsi="Titillium Web"/>
          <w:color w:val="1A1A1A"/>
          <w:sz w:val="27"/>
          <w:szCs w:val="27"/>
        </w:rPr>
        <w:br/>
      </w:r>
      <w:r>
        <w:rPr>
          <w:rFonts w:ascii="Titillium Web" w:hAnsi="Titillium Web"/>
          <w:color w:val="1A1A1A"/>
          <w:sz w:val="27"/>
          <w:szCs w:val="27"/>
        </w:rPr>
        <w:br/>
        <w:t>• gli sponsor potranno distribuire agli intervenuti materiale illustrativo delle proprie attività;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• il discorso pronunciato in corso della Cerimonia includer</w:t>
      </w:r>
      <w:r>
        <w:rPr>
          <w:rFonts w:ascii="Titillium Web" w:hAnsi="Titillium Web" w:hint="eastAsia"/>
          <w:color w:val="1A1A1A"/>
          <w:sz w:val="27"/>
          <w:szCs w:val="27"/>
        </w:rPr>
        <w:t>à la menzione di ogni sponsor sostenitore</w:t>
      </w:r>
      <w:r>
        <w:rPr>
          <w:rFonts w:ascii="Titillium Web" w:hAnsi="Titillium Web"/>
          <w:color w:val="1A1A1A"/>
          <w:sz w:val="27"/>
          <w:szCs w:val="27"/>
        </w:rPr>
        <w:t>.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  <w:u w:val="single"/>
        </w:rPr>
      </w:pP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  <w:u w:val="single"/>
        </w:rPr>
      </w:pP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bookmarkStart w:id="0" w:name="_GoBack"/>
      <w:bookmarkEnd w:id="0"/>
      <w:r>
        <w:rPr>
          <w:rFonts w:ascii="Titillium Web" w:hAnsi="Titillium Web"/>
          <w:color w:val="1A1A1A"/>
          <w:sz w:val="27"/>
          <w:szCs w:val="27"/>
          <w:u w:val="single"/>
        </w:rPr>
        <w:lastRenderedPageBreak/>
        <w:t>IMPEGNI GENERALI DELLO SPONSOR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I soggetti selezionati come sponsor si assumeranno in linea generale l’impegno di erogare un finanziamento a favore dell’Ambasciata.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Requisiti dello sponsor: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• coerenza con gli interessi pubblici;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• assenza di conflitto di interesse tra l’attività pubblica e quella privata oggetto della sponsorizzazione o pubblicità;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• assenza di pregiudizio o danno all’immagine dell’Ambasciata d’Italia o alle sue iniziative in ambito bilaterale;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• assenza di contenzioso con l’Amministrazione proponente;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• inesistenza di situazioni pregiudizievoli o limitative della capacità contrattuale.</w:t>
      </w:r>
    </w:p>
    <w:p w:rsid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Soggetti ai quali è rivolto l’avviso e la configurazione delle proposte di sponsorizzazione:</w:t>
      </w:r>
    </w:p>
    <w:p w:rsidR="009908D5" w:rsidRPr="00D0584D" w:rsidRDefault="00D0584D" w:rsidP="00D0584D">
      <w:pPr>
        <w:pStyle w:val="Normal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  <w:sz w:val="27"/>
          <w:szCs w:val="27"/>
        </w:rPr>
      </w:pPr>
      <w:r>
        <w:rPr>
          <w:rFonts w:ascii="Titillium Web" w:hAnsi="Titillium Web"/>
          <w:color w:val="1A1A1A"/>
          <w:sz w:val="27"/>
          <w:szCs w:val="27"/>
        </w:rPr>
        <w:t>I soggetti ai quali è rivolto l’avviso a manifestare interesse sono enti pubblici o privati, imprese ed altri soggetti che intendono promuovere la propria immagine attraverso la collaborazione con l’Ambasciata d’Italia in Messico, concorrendo nella realizzazione dell’iniziativa specificata.</w:t>
      </w:r>
    </w:p>
    <w:sectPr w:rsidR="009908D5" w:rsidRPr="00D058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4D"/>
    <w:rsid w:val="00452D89"/>
    <w:rsid w:val="006202D9"/>
    <w:rsid w:val="00D0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D757E"/>
  <w15:chartTrackingRefBased/>
  <w15:docId w15:val="{7E9E2D96-F2C3-45CA-B7B9-313DE65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D05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federico.campanile</dc:creator>
  <cp:keywords/>
  <dc:description/>
  <cp:lastModifiedBy>federico.campanile</cp:lastModifiedBy>
  <cp:revision>1</cp:revision>
  <dcterms:created xsi:type="dcterms:W3CDTF">2026-03-17T21:16:00Z</dcterms:created>
  <dcterms:modified xsi:type="dcterms:W3CDTF">2026-03-17T21:16:00Z</dcterms:modified>
</cp:coreProperties>
</file>